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南银理财珠联璧合鑫逸稳一年66期封闭式公募人民币理财产品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南银理财珠联璧合鑫逸稳一年66期封闭式公募人民币理财产品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Z7003222000041（投资者可依据该编码在中国理财网www.chinawealth.com.cn查询理财产品相关信息）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2022年06月29日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937,502,463.00份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鑫元基金管理有限公司、华夏基金管理有限公司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Y30066</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73,204,174.66</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1.0249</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1.0249</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Y31066</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889,046,915.30</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1.0265</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1.0265</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截至报告期末，本产品Y30066份额净值为1.0249元，Y31066份额净值为1.0265元。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ZJQTT202103220001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鑫元基金-鑫安利得52号集合资产管理计划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306,750,421.90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31.88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ZJQTT202202230001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鑫元基金-鑫安利得59号集合资产管理计划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141,761,899.49</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14.73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22088943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22淮安交控05</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120,000,000.00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12.47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22088851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22宿迁惠农01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10.39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22088953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22先行控股06</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10.39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22088878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22兴化城投02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77,000,000.00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8.00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TYJKX202207270001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同业借款（徽银金租）20220728</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5.20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ZJQTT202103180021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华夏基金恒益1号集合资产管理计划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49,870,709.74</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5.18</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徽银金融租赁有限公司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同业借款（徽银金租）20220728</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119</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江苏先行控股集团有限公司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22先行控股06</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117</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兴化市城市建设投资有限公司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22兴化城投02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91</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宿迁市惠农产业发展股份有限公司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22宿迁惠农01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90</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淮安市交通控股集团有限公司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22淮安交控05</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0120070000000853</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南银理财鑫逸稳一年66期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162,675.88</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